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289C2CFC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F48D7" w:rsidRPr="006F48D7">
        <w:rPr>
          <w:rFonts w:ascii="Poppins" w:hAnsi="Poppins" w:cs="Poppins"/>
          <w:b/>
          <w:bCs/>
          <w:sz w:val="28"/>
          <w:szCs w:val="28"/>
          <w:highlight w:val="lightGray"/>
        </w:rPr>
        <w:t>1201010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EC193C7" w:rsidR="00FC61EE" w:rsidRDefault="006F48D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F48D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https://www.aglbrasil.com/fechadura-porta-vidro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CD8C795" w14:textId="77777777" w:rsidR="006F48D7" w:rsidRPr="006F48D7" w:rsidRDefault="006F48D7" w:rsidP="006F48D7">
      <w:pPr>
        <w:rPr>
          <w:rFonts w:ascii="Poppins" w:hAnsi="Poppins" w:cs="Poppins"/>
          <w:b/>
          <w:bCs/>
          <w:sz w:val="28"/>
          <w:szCs w:val="28"/>
        </w:rPr>
      </w:pPr>
      <w:r w:rsidRPr="006F48D7">
        <w:rPr>
          <w:rFonts w:ascii="Poppins" w:hAnsi="Poppins" w:cs="Poppins"/>
          <w:b/>
          <w:bCs/>
          <w:sz w:val="28"/>
          <w:szCs w:val="28"/>
        </w:rPr>
        <w:t>A Fechadura para Porta de Vidro PV200R1I - 2 Cilindros é a solução perfeita para combinar design e segurança.</w:t>
      </w:r>
    </w:p>
    <w:p w14:paraId="236D96B7" w14:textId="77777777" w:rsidR="006F48D7" w:rsidRPr="006F48D7" w:rsidRDefault="006F48D7" w:rsidP="006F48D7">
      <w:pPr>
        <w:rPr>
          <w:rFonts w:ascii="Poppins" w:hAnsi="Poppins" w:cs="Poppins"/>
          <w:b/>
          <w:bCs/>
          <w:sz w:val="28"/>
          <w:szCs w:val="28"/>
        </w:rPr>
      </w:pPr>
      <w:r w:rsidRPr="006F48D7">
        <w:rPr>
          <w:rFonts w:ascii="Poppins" w:hAnsi="Poppins" w:cs="Poppins"/>
          <w:b/>
          <w:bCs/>
          <w:sz w:val="28"/>
          <w:szCs w:val="28"/>
        </w:rPr>
        <w:t>Com abertura interna, ela atende às necessidades específicas com eficiência.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C12F7E7" w14:textId="77777777" w:rsidR="006F48D7" w:rsidRPr="006F48D7" w:rsidRDefault="006F48D7" w:rsidP="006F48D7">
      <w:pPr>
        <w:rPr>
          <w:rFonts w:ascii="Poppins" w:hAnsi="Poppins" w:cs="Poppins"/>
          <w:b/>
          <w:bCs/>
          <w:sz w:val="28"/>
          <w:szCs w:val="28"/>
        </w:rPr>
      </w:pPr>
      <w:r w:rsidRPr="006F48D7">
        <w:rPr>
          <w:rFonts w:ascii="Poppins" w:hAnsi="Poppins" w:cs="Poppins"/>
          <w:b/>
          <w:bCs/>
          <w:sz w:val="28"/>
          <w:szCs w:val="28"/>
        </w:rPr>
        <w:t>. Abertura interna;</w:t>
      </w:r>
    </w:p>
    <w:p w14:paraId="4EBD00DB" w14:textId="77777777" w:rsidR="006F48D7" w:rsidRPr="006F48D7" w:rsidRDefault="006F48D7" w:rsidP="006F48D7">
      <w:pPr>
        <w:rPr>
          <w:rFonts w:ascii="Poppins" w:hAnsi="Poppins" w:cs="Poppins"/>
          <w:b/>
          <w:bCs/>
          <w:sz w:val="28"/>
          <w:szCs w:val="28"/>
        </w:rPr>
      </w:pPr>
      <w:r w:rsidRPr="006F48D7">
        <w:rPr>
          <w:rFonts w:ascii="Poppins" w:hAnsi="Poppins" w:cs="Poppins"/>
          <w:b/>
          <w:bCs/>
          <w:sz w:val="28"/>
          <w:szCs w:val="28"/>
        </w:rPr>
        <w:t>. 2 cilindros;</w:t>
      </w:r>
    </w:p>
    <w:p w14:paraId="43D6A448" w14:textId="77777777" w:rsidR="006F48D7" w:rsidRPr="006F48D7" w:rsidRDefault="006F48D7" w:rsidP="006F48D7">
      <w:pPr>
        <w:rPr>
          <w:rFonts w:ascii="Poppins" w:hAnsi="Poppins" w:cs="Poppins"/>
          <w:b/>
          <w:bCs/>
          <w:sz w:val="28"/>
          <w:szCs w:val="28"/>
        </w:rPr>
      </w:pPr>
      <w:r w:rsidRPr="006F48D7">
        <w:rPr>
          <w:rFonts w:ascii="Poppins" w:hAnsi="Poppins" w:cs="Poppins"/>
          <w:b/>
          <w:bCs/>
          <w:sz w:val="28"/>
          <w:szCs w:val="28"/>
        </w:rPr>
        <w:t>. Fixação por Recorte;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AAD683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F48D7" w:rsidRPr="006F48D7">
        <w:rPr>
          <w:rFonts w:ascii="PT Sans" w:eastAsia="PT Sans" w:hAnsi="PT Sans" w:cs="PT Sans"/>
        </w:rPr>
        <w:t xml:space="preserve"> </w:t>
      </w:r>
      <w:r w:rsidR="006F48D7" w:rsidRPr="006F48D7">
        <w:rPr>
          <w:rFonts w:ascii="Poppins" w:hAnsi="Poppins" w:cs="Poppins"/>
          <w:b/>
          <w:bCs/>
          <w:sz w:val="24"/>
          <w:szCs w:val="24"/>
        </w:rPr>
        <w:t>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C8F9C20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C6553A2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</w:p>
    <w:p w14:paraId="06467028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57495D36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>01 Batente p/ alvenaria</w:t>
      </w:r>
    </w:p>
    <w:p w14:paraId="3489C0AD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 xml:space="preserve">02 Cilindros </w:t>
      </w:r>
    </w:p>
    <w:p w14:paraId="23B18172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 xml:space="preserve">02 Chaves convencionais </w:t>
      </w:r>
    </w:p>
    <w:p w14:paraId="6BBFA8A9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32B648B7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 xml:space="preserve">. Dimensões da fechadura: A11 x P4 x L11 </w:t>
      </w:r>
    </w:p>
    <w:p w14:paraId="16106EEC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>. Dimensões do batente: A11 x P4 x L8</w:t>
      </w:r>
    </w:p>
    <w:p w14:paraId="0F7C106E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>. Dimensões da caixa: A12 x P12 x L14</w:t>
      </w:r>
    </w:p>
    <w:p w14:paraId="258F0462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>. Peso líquido médio: 943g</w:t>
      </w:r>
    </w:p>
    <w:p w14:paraId="7AA7F4D2" w14:textId="77777777" w:rsidR="006F48D7" w:rsidRPr="006F48D7" w:rsidRDefault="006F48D7" w:rsidP="006F48D7">
      <w:pPr>
        <w:rPr>
          <w:rFonts w:ascii="Poppins" w:hAnsi="Poppins" w:cs="Poppins"/>
          <w:b/>
          <w:bCs/>
          <w:sz w:val="24"/>
          <w:szCs w:val="24"/>
        </w:rPr>
      </w:pPr>
      <w:r w:rsidRPr="006F48D7">
        <w:rPr>
          <w:rFonts w:ascii="Poppins" w:hAnsi="Poppins" w:cs="Poppins"/>
          <w:b/>
          <w:bCs/>
          <w:sz w:val="24"/>
          <w:szCs w:val="24"/>
        </w:rPr>
        <w:t>. Peso bruto médio: 1.008Kg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721E9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F48D7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F48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porta-vid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2024-09-04T13:48:00Z</dcterms:created>
  <dcterms:modified xsi:type="dcterms:W3CDTF">2024-09-04T13:48:00Z</dcterms:modified>
</cp:coreProperties>
</file>